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009A8968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C16B14">
        <w:rPr>
          <w:rFonts w:ascii="ＭＳ ゴシック" w:hAnsi="ＭＳ ゴシック" w:hint="eastAsia"/>
          <w:sz w:val="24"/>
        </w:rPr>
        <w:t>17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C16B14">
        <w:rPr>
          <w:rFonts w:ascii="ＭＳ ゴシック" w:hAnsi="ＭＳ ゴシック" w:hint="eastAsia"/>
          <w:sz w:val="24"/>
        </w:rPr>
        <w:t>2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C16B14">
        <w:rPr>
          <w:rFonts w:ascii="ＭＳ ゴシック" w:hAnsi="ＭＳ ゴシック" w:hint="eastAsia"/>
          <w:sz w:val="24"/>
        </w:rPr>
        <w:t>19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159C6A1E" w:rsidR="00A02E6A" w:rsidRPr="001045EE" w:rsidRDefault="00C16B14" w:rsidP="00CB1B03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第2期美唄市まち・ひと・しごと創生総合戦略</w:t>
            </w:r>
            <w:r w:rsidR="00A02E6A">
              <w:rPr>
                <w:rFonts w:ascii="ＭＳ ゴシック" w:hAnsi="ＭＳ ゴシック" w:hint="eastAsia"/>
              </w:rPr>
              <w:t>(2024年度改訂)及び美唄市人口ビジョン(2024年度改訂)の成案</w:t>
            </w:r>
            <w:r w:rsidR="00CB1B03" w:rsidRPr="00CB1B03">
              <w:rPr>
                <w:rFonts w:ascii="ＭＳ ゴシック" w:hAnsi="ＭＳ ゴシック" w:hint="eastAsia"/>
              </w:rPr>
              <w:t>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79073425" w:rsidR="00AB4C8B" w:rsidRPr="00157708" w:rsidRDefault="00154E09" w:rsidP="00AA2BA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第2期美唄市まち・ひと・しごと創生総合戦略及び</w:t>
            </w:r>
            <w:r w:rsidR="00C12E1F">
              <w:rPr>
                <w:rFonts w:ascii="ＭＳ ゴシック" w:hAnsi="ＭＳ ゴシック" w:hint="eastAsia"/>
              </w:rPr>
              <w:t>美唄市人口ビジョンの改訂について審議するもの。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1ECEABBD" w14:textId="53545DE4" w:rsidR="000D6FB1" w:rsidRDefault="00EF156D" w:rsidP="00E4534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C12E1F">
              <w:rPr>
                <w:rFonts w:ascii="ＭＳ ゴシック" w:hAnsi="ＭＳ ゴシック" w:hint="eastAsia"/>
              </w:rPr>
              <w:t>第2期美唄市まち・ひと・しごと創生総合戦略について、第7期</w:t>
            </w:r>
            <w:r>
              <w:rPr>
                <w:rFonts w:ascii="ＭＳ ゴシック" w:hAnsi="ＭＳ ゴシック" w:hint="eastAsia"/>
              </w:rPr>
              <w:t>美唄市総合計画後期基本計画との整合性を図るため、計画期間を1年延長する。令和7年1月8日～2月7日の期間でパブリック・コメントを実施した。</w:t>
            </w:r>
          </w:p>
          <w:p w14:paraId="725C8A67" w14:textId="7EB4FC7E" w:rsidR="00EF156D" w:rsidRPr="00A82267" w:rsidRDefault="00EF156D" w:rsidP="00E4534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・美唄市人口ビジョンについて、第7期美唄市総合計画後期基本計画及び第3期美唄市まち・ひと・しごと創生総合戦略策定のため</w:t>
            </w:r>
            <w:r w:rsidR="00ED1191">
              <w:rPr>
                <w:rFonts w:ascii="ＭＳ ゴシック" w:hAnsi="ＭＳ ゴシック" w:hint="eastAsia"/>
              </w:rPr>
              <w:t>、社人研の人口推計データ等を基に改訂する。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5676BB63" w:rsidR="00AA2BA9" w:rsidRDefault="00AA2BA9" w:rsidP="00BB3A1D">
            <w:pPr>
              <w:rPr>
                <w:rFonts w:ascii="ＭＳ ゴシック" w:hAnsi="ＭＳ ゴシック"/>
              </w:rPr>
            </w:pP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1045EE"/>
    <w:rsid w:val="0011721E"/>
    <w:rsid w:val="00154E09"/>
    <w:rsid w:val="00157708"/>
    <w:rsid w:val="001F1929"/>
    <w:rsid w:val="002E4C57"/>
    <w:rsid w:val="004C3BB1"/>
    <w:rsid w:val="005B64E1"/>
    <w:rsid w:val="006937E6"/>
    <w:rsid w:val="006C5A1F"/>
    <w:rsid w:val="00706CCC"/>
    <w:rsid w:val="00760711"/>
    <w:rsid w:val="007B22EC"/>
    <w:rsid w:val="00A0185E"/>
    <w:rsid w:val="00A02E6A"/>
    <w:rsid w:val="00A512B6"/>
    <w:rsid w:val="00A564C6"/>
    <w:rsid w:val="00A82267"/>
    <w:rsid w:val="00A84D76"/>
    <w:rsid w:val="00A87BA0"/>
    <w:rsid w:val="00AA2BA9"/>
    <w:rsid w:val="00AB4C8B"/>
    <w:rsid w:val="00B82C95"/>
    <w:rsid w:val="00BB3A1D"/>
    <w:rsid w:val="00C12E1F"/>
    <w:rsid w:val="00C16B14"/>
    <w:rsid w:val="00CB1B03"/>
    <w:rsid w:val="00DB1462"/>
    <w:rsid w:val="00E4534B"/>
    <w:rsid w:val="00E52402"/>
    <w:rsid w:val="00ED1191"/>
    <w:rsid w:val="00EF156D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9</cp:revision>
  <cp:lastPrinted>2024-06-25T01:36:00Z</cp:lastPrinted>
  <dcterms:created xsi:type="dcterms:W3CDTF">2024-06-25T00:23:00Z</dcterms:created>
  <dcterms:modified xsi:type="dcterms:W3CDTF">2025-03-14T05:46:00Z</dcterms:modified>
</cp:coreProperties>
</file>